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9" w:rsidRPr="00DD3869" w:rsidRDefault="00DD3869" w:rsidP="00DD3869">
      <w:pPr>
        <w:shd w:val="clear" w:color="auto" w:fill="FBFBFB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DD386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"https://rshb.ru/natural/loans/mortgage/" \l "tab20727" </w:instrText>
      </w:r>
      <w:r w:rsidRPr="00DD386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DD3869">
        <w:rPr>
          <w:rFonts w:ascii="Helvetica" w:eastAsia="Times New Roman" w:hAnsi="Helvetica" w:cs="Helvetica"/>
          <w:b/>
          <w:bCs/>
          <w:color w:val="0000FF"/>
          <w:sz w:val="27"/>
          <w:szCs w:val="27"/>
          <w:bdr w:val="single" w:sz="6" w:space="0" w:color="E5E5E5" w:frame="1"/>
          <w:lang w:eastAsia="ru-RU"/>
        </w:rPr>
        <w:br/>
      </w:r>
      <w:proofErr w:type="spellStart"/>
      <w:r w:rsidRPr="00DD3869">
        <w:rPr>
          <w:rFonts w:ascii="Helvetica" w:eastAsia="Times New Roman" w:hAnsi="Helvetica" w:cs="Helvetica"/>
          <w:b/>
          <w:bCs/>
          <w:color w:val="0000FF"/>
          <w:sz w:val="27"/>
          <w:lang w:eastAsia="ru-RU"/>
        </w:rPr>
        <w:t>Условия</w:t>
      </w:r>
      <w:r w:rsidRPr="00DD386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hyperlink r:id="rId5" w:anchor="tab20731" w:history="1">
        <w:r w:rsidRPr="00DD3869">
          <w:rPr>
            <w:rFonts w:ascii="Helvetica" w:eastAsia="Times New Roman" w:hAnsi="Helvetica" w:cs="Helvetica"/>
            <w:b/>
            <w:bCs/>
            <w:color w:val="0000FF"/>
            <w:sz w:val="27"/>
            <w:lang w:eastAsia="ru-RU"/>
          </w:rPr>
          <w:t>Ставки</w:t>
        </w:r>
      </w:hyperlink>
      <w:hyperlink r:id="rId6" w:anchor="tab20730" w:history="1">
        <w:r w:rsidRPr="00DD3869">
          <w:rPr>
            <w:rFonts w:ascii="Helvetica" w:eastAsia="Times New Roman" w:hAnsi="Helvetica" w:cs="Helvetica"/>
            <w:b/>
            <w:bCs/>
            <w:color w:val="0000FF"/>
            <w:sz w:val="27"/>
            <w:lang w:eastAsia="ru-RU"/>
          </w:rPr>
          <w:t>Документы</w:t>
        </w:r>
      </w:hyperlink>
      <w:hyperlink r:id="rId7" w:anchor="tab20728" w:history="1">
        <w:r w:rsidRPr="00DD3869">
          <w:rPr>
            <w:rFonts w:ascii="Helvetica" w:eastAsia="Times New Roman" w:hAnsi="Helvetica" w:cs="Helvetica"/>
            <w:b/>
            <w:bCs/>
            <w:color w:val="0000FF"/>
            <w:sz w:val="27"/>
            <w:lang w:eastAsia="ru-RU"/>
          </w:rPr>
          <w:t>Требования</w:t>
        </w:r>
      </w:hyperlink>
      <w:hyperlink r:id="rId8" w:anchor="tab255547" w:history="1">
        <w:r w:rsidRPr="00DD3869">
          <w:rPr>
            <w:rFonts w:ascii="Helvetica" w:eastAsia="Times New Roman" w:hAnsi="Helvetica" w:cs="Helvetica"/>
            <w:b/>
            <w:bCs/>
            <w:color w:val="0000FF"/>
            <w:sz w:val="27"/>
            <w:lang w:eastAsia="ru-RU"/>
          </w:rPr>
          <w:t>Обслуживание</w:t>
        </w:r>
        <w:proofErr w:type="spellEnd"/>
      </w:hyperlink>
    </w:p>
    <w:p w:rsidR="00DD3869" w:rsidRPr="00DD3869" w:rsidRDefault="00DD3869" w:rsidP="00DD38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Процентные ставки, годовых в рублях РФ:</w:t>
      </w:r>
      <w:r w:rsidRPr="00DD386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DD3869">
        <w:rPr>
          <w:rFonts w:ascii="Helvetica" w:eastAsia="Times New Roman" w:hAnsi="Helvetica" w:cs="Helvetica"/>
          <w:color w:val="FF0000"/>
          <w:sz w:val="14"/>
          <w:szCs w:val="14"/>
          <w:lang w:eastAsia="ru-RU"/>
        </w:rPr>
        <w:t>  </w:t>
      </w:r>
      <w:r w:rsidRPr="00DD3869">
        <w:rPr>
          <w:rFonts w:ascii="Helvetica" w:eastAsia="Times New Roman" w:hAnsi="Helvetica" w:cs="Helvetica"/>
          <w:color w:val="FF0000"/>
          <w:sz w:val="14"/>
          <w:szCs w:val="14"/>
          <w:lang w:eastAsia="ru-RU"/>
        </w:rPr>
        <w:br/>
      </w:r>
    </w:p>
    <w:tbl>
      <w:tblPr>
        <w:tblW w:w="15925" w:type="dxa"/>
        <w:jc w:val="center"/>
        <w:tblCellMar>
          <w:left w:w="0" w:type="dxa"/>
          <w:right w:w="0" w:type="dxa"/>
        </w:tblCellMar>
        <w:tblLook w:val="04A0"/>
      </w:tblPr>
      <w:tblGrid>
        <w:gridCol w:w="4850"/>
        <w:gridCol w:w="2938"/>
        <w:gridCol w:w="3145"/>
        <w:gridCol w:w="2911"/>
        <w:gridCol w:w="2081"/>
      </w:tblGrid>
      <w:tr w:rsidR="00DD3869" w:rsidRPr="00DD3869" w:rsidTr="00DD3869">
        <w:trPr>
          <w:jc w:val="center"/>
        </w:trPr>
        <w:tc>
          <w:tcPr>
            <w:tcW w:w="4850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кредитования</w:t>
            </w:r>
          </w:p>
        </w:tc>
        <w:tc>
          <w:tcPr>
            <w:tcW w:w="2938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0" w:type="auto"/>
            <w:gridSpan w:val="3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                   </w:t>
            </w:r>
            <w:r w:rsidRPr="00DD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Категория/сегмент</w:t>
            </w:r>
          </w:p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зарплатные</w:t>
            </w:r>
            <w:proofErr w:type="spellEnd"/>
            <w:r w:rsidRPr="00DD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«надежные» клиенты Банка</w:t>
            </w:r>
            <w:proofErr w:type="gramStart"/>
            <w:r w:rsidRPr="00DD38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бюджетных организаций</w:t>
            </w:r>
            <w:proofErr w:type="gramStart"/>
            <w:r w:rsidRPr="00DD38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физические лица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numPr>
                <w:ilvl w:val="0"/>
                <w:numId w:val="1"/>
              </w:numPr>
              <w:spacing w:before="96" w:after="96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квартиры (в том числе </w:t>
            </w:r>
            <w:proofErr w:type="spellStart"/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таунхауса</w:t>
            </w:r>
            <w:proofErr w:type="spellEnd"/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земельным участком) или апартаментов на вторичном рынке</w:t>
            </w:r>
          </w:p>
        </w:tc>
        <w:tc>
          <w:tcPr>
            <w:tcW w:w="2938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3 000 000 руб.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8,95%</w:t>
              </w:r>
            </w:hyperlink>
            <w:hyperlink r:id="rId10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hyperlink r:id="rId11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9,00%</w:t>
              </w:r>
            </w:hyperlink>
            <w:hyperlink r:id="rId12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9,10%</w:t>
              </w:r>
            </w:hyperlink>
            <w:hyperlink r:id="rId14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9,20%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9,30%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для молодых семей</w:t>
            </w:r>
          </w:p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8,95%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 9,00%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9,10%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 руб. и более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8,85%</w:t>
              </w:r>
            </w:hyperlink>
            <w:hyperlink r:id="rId16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17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8,90%</w:t>
              </w:r>
            </w:hyperlink>
            <w:hyperlink r:id="rId18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9,00%</w:t>
              </w:r>
            </w:hyperlink>
            <w:hyperlink r:id="rId20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9,10%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9,20%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молодых семей</w:t>
            </w:r>
          </w:p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8,90%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9,00%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numPr>
                <w:ilvl w:val="0"/>
                <w:numId w:val="2"/>
              </w:numPr>
              <w:spacing w:before="96" w:after="96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квартиры (в том числе </w:t>
            </w:r>
            <w:proofErr w:type="spellStart"/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таунхауса</w:t>
            </w:r>
            <w:proofErr w:type="spellEnd"/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земельным участком) или </w:t>
            </w: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апартаментов на первичном рынке</w:t>
            </w:r>
          </w:p>
        </w:tc>
        <w:tc>
          <w:tcPr>
            <w:tcW w:w="2938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3 000 000 руб.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8,95%</w:t>
              </w:r>
            </w:hyperlink>
            <w:hyperlink r:id="rId22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23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9,00%</w:t>
              </w:r>
            </w:hyperlink>
            <w:hyperlink r:id="rId24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hyperlink r:id="rId25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9,10%</w:t>
              </w:r>
            </w:hyperlink>
            <w:hyperlink r:id="rId26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9,20%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9,30%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 w:val="restart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 руб. и более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8,85%</w:t>
              </w:r>
            </w:hyperlink>
            <w:hyperlink r:id="rId28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29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8,90%</w:t>
              </w:r>
            </w:hyperlink>
            <w:hyperlink r:id="rId30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24"/>
                  <w:szCs w:val="24"/>
                  <w:lang w:eastAsia="ru-RU"/>
                </w:rPr>
                <w:t>9,00%</w:t>
              </w:r>
            </w:hyperlink>
            <w:hyperlink r:id="rId32" w:history="1">
              <w:r w:rsidRPr="00DD3869">
                <w:rPr>
                  <w:rFonts w:ascii="Times New Roman" w:eastAsia="Times New Roman" w:hAnsi="Times New Roman" w:cs="Times New Roman"/>
                  <w:color w:val="008B31"/>
                  <w:sz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bottom w:val="single" w:sz="6" w:space="0" w:color="E6EDF0"/>
            </w:tcBorders>
            <w:shd w:val="clear" w:color="auto" w:fill="auto"/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9,10%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9,20%</w:t>
            </w:r>
          </w:p>
        </w:tc>
      </w:tr>
      <w:tr w:rsidR="00DD3869" w:rsidRPr="00DD3869" w:rsidTr="00DD3869">
        <w:trPr>
          <w:jc w:val="center"/>
        </w:trPr>
        <w:tc>
          <w:tcPr>
            <w:tcW w:w="4850" w:type="dxa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с земельным участком</w:t>
            </w:r>
          </w:p>
          <w:p w:rsidR="00DD3869" w:rsidRPr="00DD3869" w:rsidRDefault="00DD3869" w:rsidP="00DD3869">
            <w:pPr>
              <w:numPr>
                <w:ilvl w:val="0"/>
                <w:numId w:val="3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земельного участка</w:t>
            </w:r>
          </w:p>
        </w:tc>
        <w:tc>
          <w:tcPr>
            <w:tcW w:w="2938" w:type="dxa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предоставления кредитного продукта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11,50%</w:t>
            </w:r>
          </w:p>
        </w:tc>
        <w:tc>
          <w:tcPr>
            <w:tcW w:w="0" w:type="auto"/>
            <w:tcBorders>
              <w:bottom w:val="single" w:sz="6" w:space="0" w:color="E6EDF0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DD3869" w:rsidRPr="00DD3869" w:rsidRDefault="00DD3869" w:rsidP="00DD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12,00%</w:t>
            </w:r>
          </w:p>
        </w:tc>
      </w:tr>
    </w:tbl>
    <w:p w:rsidR="00DD3869" w:rsidRPr="00DD3869" w:rsidRDefault="00DD3869" w:rsidP="00DD38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Надбавка к процентным ставкам:</w:t>
      </w:r>
    </w:p>
    <w:p w:rsidR="00DD3869" w:rsidRPr="00DD3869" w:rsidRDefault="00DD3869" w:rsidP="00DD38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+ 1,00% </w:t>
      </w:r>
      <w:r w:rsidRPr="00DD386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отказа заемщика и/или солидарных заемщиков, доход которых был учтен при расчете суммы кредита, осуществить страхование жизни и здоровья либо несоблюдении ими принятого на себя обязательства по обеспечению непрерывного страхования жизни и здоровья в течение всего срока действия кредитного договора.</w:t>
      </w:r>
    </w:p>
    <w:p w:rsidR="00DD3869" w:rsidRPr="00DD3869" w:rsidRDefault="00DD3869" w:rsidP="00DD38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Более подробную информацию об уровне процентных ставок можно узнать в территориальных подразделениях АО «</w:t>
      </w:r>
      <w:proofErr w:type="spellStart"/>
      <w:r w:rsidRPr="00DD386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Россельхозбанк</w:t>
      </w:r>
      <w:proofErr w:type="spellEnd"/>
      <w:r w:rsidRPr="00DD386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».</w:t>
      </w:r>
    </w:p>
    <w:p w:rsidR="00DD3869" w:rsidRPr="00DD3869" w:rsidRDefault="00DD3869" w:rsidP="00DD38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i/>
          <w:iCs/>
          <w:color w:val="000000"/>
          <w:sz w:val="16"/>
          <w:vertAlign w:val="superscript"/>
          <w:lang w:eastAsia="ru-RU"/>
        </w:rPr>
        <w:t>1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Категории клиентов определены внутренними документами АО «</w:t>
      </w:r>
      <w:proofErr w:type="spell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Россельхозбанк</w:t>
      </w:r>
      <w:proofErr w:type="spellEnd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».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 xml:space="preserve">К </w:t>
      </w:r>
      <w:proofErr w:type="spell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зарплатным</w:t>
      </w:r>
      <w:proofErr w:type="spellEnd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 xml:space="preserve"> клиентам относятся работники предприятий, являющихся участниками «</w:t>
      </w:r>
      <w:proofErr w:type="spell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зарплатного</w:t>
      </w:r>
      <w:proofErr w:type="spellEnd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 xml:space="preserve"> проекта» АО «</w:t>
      </w:r>
      <w:proofErr w:type="spell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Россельхозбанк</w:t>
      </w:r>
      <w:proofErr w:type="spellEnd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», физические лица, получающие заработную плату на счет в АО «</w:t>
      </w:r>
      <w:proofErr w:type="spell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Россельхозбанк</w:t>
      </w:r>
      <w:proofErr w:type="spellEnd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».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К «надежным» клиентам относятся клиенты с положительной кредитной историей по действующему/погашенному кредиту в АО «</w:t>
      </w:r>
      <w:proofErr w:type="spell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Россельхозбанк</w:t>
      </w:r>
      <w:proofErr w:type="spellEnd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», действующему/действовавшему не менее 12 календарных месяцев до даты подачи заявки на кредит/до дня его погашения, и положительной кредитной историей в других банках.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К «работникам бюджетных организаций» относятся: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работники компаний, соответствующих установленному перечню организационно-правовых форм предприятий, учреждений и организаций бюджетной сферы;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военнослужащие, проходящие военную службу по контракту в военных округах, на флотах, в объединениях, соединениях, воинских частях и других военных организациях Вооруженных Сил;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работники, осуществляющие деятельность в центральных органах военного управления и иных подразделениях, входящих в структуру Министерства обороны Российской Федерации (далее – Минобороны России), а также в учреждениях, подведомственных Минобороны России. К указанным работникам относятся как лица, проходящие службу по контракту, так и гражданский персонал Минобороны России. К гражданскому персоналу относятся федеральные государственные служащие, чья профессиональная служебная деятельность по трудовому договору относится к федеральной государственной гражданской службе, а также прочие лица, осуществляющие деятельность в вышеуказанных организациях по трудовому договору.</w:t>
      </w:r>
    </w:p>
    <w:p w:rsidR="00DD3869" w:rsidRPr="00DD3869" w:rsidRDefault="00DD3869" w:rsidP="00DD38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lastRenderedPageBreak/>
        <w:t xml:space="preserve">Перечень организационно-правовых форм предприятий, учреждений и организаций бюджетной сферы: </w:t>
      </w:r>
      <w:proofErr w:type="gram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Учреждения (федеральные, субъектов Российской Федерации (республиканские, краевые, областные и пр.), муниципальные (районные, городские и пр.)):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государственные автономные учреждения;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государственные бюджетные учреждения;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государственные казенные учреждения.</w:t>
      </w:r>
      <w:proofErr w:type="gramEnd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proofErr w:type="gramStart"/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Предприятия (федеральные, субъектов Российской Федерации (республиканские, краевые, областные и пр.), муниципальные (районные, городские и пр.)):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унитарные предприятия;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- казенные предприятия.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br/>
      </w:r>
      <w:proofErr w:type="gramEnd"/>
    </w:p>
    <w:p w:rsidR="00DD3869" w:rsidRPr="00DD3869" w:rsidRDefault="00DD3869" w:rsidP="00DD38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D3869">
        <w:rPr>
          <w:rFonts w:ascii="Helvetica" w:eastAsia="Times New Roman" w:hAnsi="Helvetica" w:cs="Helvetica"/>
          <w:i/>
          <w:iCs/>
          <w:color w:val="000000"/>
          <w:sz w:val="16"/>
          <w:vertAlign w:val="superscript"/>
          <w:lang w:eastAsia="ru-RU"/>
        </w:rPr>
        <w:t>2 </w:t>
      </w:r>
      <w:r w:rsidRPr="00DD3869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Специальные условия приобретения объекта недвижимости у ключевых партнеров Банка.</w:t>
      </w:r>
      <w:r w:rsidRPr="00DD386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</w:t>
      </w:r>
    </w:p>
    <w:p w:rsidR="00E00961" w:rsidRDefault="00E00961"/>
    <w:sectPr w:rsidR="00E00961" w:rsidSect="00DD3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ABE"/>
    <w:multiLevelType w:val="multilevel"/>
    <w:tmpl w:val="535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03CC"/>
    <w:multiLevelType w:val="multilevel"/>
    <w:tmpl w:val="D71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425C2"/>
    <w:multiLevelType w:val="multilevel"/>
    <w:tmpl w:val="7368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869"/>
    <w:rsid w:val="00DD3869"/>
    <w:rsid w:val="00E0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869"/>
    <w:rPr>
      <w:b/>
      <w:bCs/>
    </w:rPr>
  </w:style>
  <w:style w:type="character" w:styleId="a6">
    <w:name w:val="Emphasis"/>
    <w:basedOn w:val="a0"/>
    <w:uiPriority w:val="20"/>
    <w:qFormat/>
    <w:rsid w:val="00DD3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1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b.ru/natural/loans/mortgage/" TargetMode="External"/><Relationship Id="rId13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18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26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shb.ru/natural/loans/mortgage/" TargetMode="External"/><Relationship Id="rId12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17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25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20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29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shb.ru/natural/loans/mortgage/" TargetMode="External"/><Relationship Id="rId11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24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32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5" Type="http://schemas.openxmlformats.org/officeDocument/2006/relationships/hyperlink" Target="https://rshb.ru/natural/loans/mortgage/" TargetMode="External"/><Relationship Id="rId15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23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28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10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19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31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14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22" Type="http://schemas.openxmlformats.org/officeDocument/2006/relationships/hyperlink" Target="https://rshb.ru/download-file/284178/%D0%A1%D0%BF%D0%B8%D1%81%D0%BE%D0%BA%20%D0%BA%D0%BB%D1%8E%D1%87%D0%B5%D0%B2%D1%8B%D1%85%20%D0%B7%D0%B0%D1%81%D1%82%D1%80%D0%BE%D0%B9%D1%89%D0%B8%D0%BA%D0%BE%D0%B2%2022.06.2017.pdf" TargetMode="External"/><Relationship Id="rId27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Relationship Id="rId30" Type="http://schemas.openxmlformats.org/officeDocument/2006/relationships/hyperlink" Target="https://sgo-w326-4.go.rshbank.ru/download-file/284178/%D0%A1%D0%BF%D0%B8%D1%81%D0%BE%D0%BA%20%D0%BA%D0%BB%D1%8E%D1%87%D0%B5%D0%B2%D1%8B%D1%85%20%D0%B7%D0%B0%D1%81%D1%82%D1%80%D0%BE%D0%B9%D1%89%D0%B8%D0%BA%D0%BE%D0%B2%2022.06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2018-08-07T09:41:00Z</dcterms:created>
  <dcterms:modified xsi:type="dcterms:W3CDTF">2018-08-07T09:47:00Z</dcterms:modified>
</cp:coreProperties>
</file>